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Ездакова Алексея Валентиновича в Арбитражный суд города Москвы обратился финансовый управляющий с заявлением о разрешении разногласий, об утверждении порядка исполнения обязательств Мацуевой Л.А. перед должником. Определением Арбитражного суда города Москвы от 24.12.2022 в удовлетворении заявления отказано. Постановлением Девятого арбитражного апелляционного суда от 24.03.2023 определение суда первой инстанции оставлено без изменения. Арбитражный суд Московского округа постановлением от 15.06.2023 указанные судебные акты оставил без изменения. Арбитражный управляющий Феденко А.А.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статьей 60 Федерального закона от 26.10.2002 № 127-ФЗ «О несостоятельности (банкротстве)» и исходили из того, что Мацуевой Л.А. в порядке статьи 125 Закона о банкротстве удовлетворены все требования кредиторов, включенные в реестр требований кредиторов должника, денежные средства внесены на специальный счет, открытый финансовым управляющим, в пределах двадцатидневного срока, установленного определением суда об удовлетворении заявления о намерении погасить требования кредиторов.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