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Остафийчук О.Ю. в Арбитражный суд Московской области обратился финансовый управляющий Стоян Р.С. с ходатайством об утверждении Положения о порядке, условиях и сроках реализации имущества должника. Определением Арбитражного суда Московской области от 23.01.2023 заявление финансового управляющего удовлетворено, утверждено Положение о порядке, условиях и сроках реализации имущества должника в редакции финансового управляющего от 19.10.2022, утверждена начальная цена продажи имущества. Постановлением Десятого арбитражного апелляционного суда от 24.04.2023 определение суда первой инстанции отменено, в утверждении Положения о порядке, условиях и сроках реализации имущества должника отказано. Арбитражный суд Московского округа постановлением от 25.07.2023 постановление суда апелляционной инстанции оставил без изменения. Гарбузова А.В. обратилась в Судебную коллегию Верховного Суда Российской Федерации с кассационной жалобой на принятые по 2 обособленному спору постановления судов апелляционной и кассационной инстанций, ссылаясь на существенные нарушения норм права. В поступившем на кассационную жалобу отзыве Остафийчук О.Ю. просит отказать в удовлетворении кассационной жалобы, считая обжалуемые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с учетом возражений отзыва на жалобу, не установлено. Разрешая спор, суды апелляционной и кассационной инстанций исходили из несоответствия Положения о порядке, условиях и сроках реализации имущества должника в редакции финансового управляющего требованиям статей 110, 111, 112, 139 Федерального закона от 26.10.2002 № 127-ФЗ «О несостоятельности (банкротстве)», статье 1175 Гражданского кодекса Российской Федерации, статье 446 Гражданского процессуального кодекса Российской Федерации, нарушения прав должника, поскольку лот № 3 - земельный участок является личным имуществом должника и в наследственную массу не входит, реализация 1/5 жилого дома и находящегося под ним 1/5 земельного участка предложено в разных лотах, что нарушает предусмотренный статьей 35 Земельного кодекса Российской Федерации принцип единства судьбы земельного участка и прочно связанного с ним объекта.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