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в том числе касающиеся объема оказанных истцом услуг, проанализировав 2 условия заключенного сторонами договора, руководствуясь положениями законодательства, регулирующего спорные правоотношения, суды не установили оснований для взыскания с ответчика испрашиваемой задолженности. Приведенные в кассационной жалобе доводы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«Инвестиционная торгово-строительная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