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09.02.2023, оставленным без изменения постановлением Десятого арбитражного апелляционного суда от 25.04.2023 и постановлением Арбитражного суда Московского округа от 31.07.2023, в удовлетворении заявления отказано. В кассационной жалобе общество «ВЭЙ-ГРУПП» просит об отмене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заявленное обстоятельство существовало и было известно заявителю до принятия решения от 31.03.2021, обнародовано в деле, в котором не получило оценки суда, влекущей иные выводы в рассматриваемом деле, поэтому правильно оценено как не соответствующее части 2 статьи 311 Арбитражного процессуального кодекса Российской Федерации. Иная позиция заявителя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«ВЭЙ-ГРУПП»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