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Ростовской области от 13.04.2023, оставленным без изменения постановлением Пятнадцатого арбитражного апелляционного суда от 01.06.2023 и постановлением Арбитражного суда Северо-Кавказского округа от 26.07.2023, восстановлен срок на подачу заявления о включении требования в реестр, требование в размере 9 737 224 рублей включено в третью очередь реестра как обеспеченное залогом имущества должника. В кассационных жалобах Ананич В.Б. и Дымковская Л.А. просят об отмене судебных актов, ссылаясь на неосновательное восстановление срока для включения требования в реестр.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 не усматривается. Суды признали обоснованным требование кредитора как подтвержденное надлежащими доказательствами и соответствующее критериям статей 71, 100 Федерального закона от 26.10.2002 № 127-ФЗ «О несостоятельности (банкротстве)» для включения в реестр, восстановление для которого срока соответствует компетенции и не подлежит пересмотру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Ананичу Валерию Борисовичу и финансовому управляющему Дымковской Луизе Амирановне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