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22.12.2022 в удовлетворении заявления отказано. Десятый арбитражный апелляционный суд постановлением от 21.03.2023, оставленным без изменения постановлением Арбитражного суда Московского округа от 04.07.2023, отменил определение от 22.12.2022 и удовлетворил заявление. В кассационных жалобах Железняк О.С. просит об отмене судебных актов, ссылаясь на неизвещение о начавшемся процессе, Асланова Е.Н. – неправильную оценку обстоятельств дарения и неосновательное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Требуемая переоценка обстоятельств совершения сделок не создает названные основания для кассационного пересмотра судебных актов. Статус Железняк О.С. по отношению к должнику предполагает возможность отслеживания движения дела о банкротстве, поэтому ее довод о неизвещении о рассмотрении спора при принятых судом мерах к таковому также не влечет пересмотра судебных актов. Срок исковой давности в связи с заявлением Аслановой Е.Н. о ее применении исчислен по правилам, действующим для финансового управляющего.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Железняк Ольге Сергеевне и Аслановой Екатерине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