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10.09.2022, оставленным без изменения постановлением Восемнадцатого арбитражного апелляционного суда от 06.03.2023 и постановлением Арбитражного суда Уральского округа от 15.06.2023, заявление удовлетворено. В кассационной жалобе Коновалова К.С. просит об отмене судебных актов, ссылаясь на неизвещение о рассмотрении спора в суде первой инстанции, несоответствие выводов судов об обстоятельствах заключения сделки фактическим обстоятельствам.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о неизвещении ответчика о рассмотрении спора в суде первой инстанции рассмотрен окружным судом и мотивированно отклонен. Суды установили направленность сделки на создание фиктивной задолженности, поэтому применили статьи 10, 168, 170 Гражданского кодекса Российской Федерации. Иная оценка обстоятельств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Коноваловой Кристине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