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Рязанской области от 20.01.2023, оставленным без изменения постановлением Двадцатого арбитражного апелляционного суда от 12.04.2023 и постановлением Арбитражного суда Центрального округа от 03.07.2023, заявление удовлетворено. В кассационной жалобе ФИО1 просит об отмене судебных актов, ссылаясь на отсутствие доказательств использования заемных денежных средств на нужды семьи.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исходили из установленной в силу статей 35, 45 Семейного кодекса Российской Федерации и не опровергнутой должником и ответчиком презумпции расходования денежных средств на нужды семьи, поэтому признали общность обязательства супругов. Вопросы доказывания и оценки доказательств, положенные в основу доводов жалобы, не создают оснований для пересмотра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 Суд: Верховный Суд РФ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