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15.12.2022 заявление удовлетворено. Постановлением Девятого арбитражного апелляционного суда от 07.04.2023, оставленным без изменения и постановлением Арбитражного суда Московского округа от 20.06.2023, определение от 15.12.2022 отменено, в удовлетворении заявления отказано. В кассационной жалобе Буйволов В.А. просит об отмене судебных актов апелляционного и окружного судов, ссылаясь на неправильную оценку обстоятельств совершения спорного платежа.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Установленные обстоятельства совершения и характер платежа суды признали не создающими условий для его недействительности в силу статьи 61.3 Федерального закона от 26.10.2002 № 127-ФЗ «О несостоятельности (банкротстве)», статей 10, 168 гражданского кодекса Российской Федерации. Требуемая переоценка обстоятельств совершения сделки не создает обозначенных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Буйволову Владиславу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