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20.01.2023, оставленным без изменения постановлением Тринадцатого арбитражного апелляционного суда от 16.03.2023 и постановлением Арбитражного суда Северо-Западного округа от 08.06.2023, Положение утверждено в редакции, представленной финансовым управляющим. В кассационной жалобе Ган О.Е. просит об отмене судебных актов, ссылаясь на нарушение порядка подачи заявления и непринятие апелляционным судом возражений.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судов, оцениваемые должником как процессуальные нарушения, таковыми не являются и связанные с ними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Гану Олегу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