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21.10.2022, оставленным без изменения постановлением Десятого арбитражного апелляционного суда от 30.01.2023 и постановлением Арбитражного суда Московского округа от 05.06.2023, в удовлетворении заявления отказано. В кассационной жалобе Пахтусов И.Н. просит об отмене судебных актов, ссылаясь на неправильную оценку обстоятельств совершения платежей.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Отличная от судебной оценка обстоятельств совершения сделок не создает указанных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Пахтусову И.Н.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