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обжалуемые судебные акты проверены Верховным Судом Российской Федерации в кассационном порядке по жалобе Жуковой Л.В. (определение от 07.08.2023 № 305-ЭС22-27663(4)). В обозначенной ситуации производство по данной жалобе подлежит прекращению применительно к пункту 2 части 1 статьи 150 Арбитражного процессуального кодекса Российской Федерации. Руководствуясь статьей 184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Жуковой Любови Васильевны на определение Арбитражного суда города Москвы от 19.10.2022, постановление Девятого арбитражного апелляционного суда от 10.01.2023 и постановление Арбитражного суда Московского округа от 03.04.2023 по делу № А40-2007/2022. Судья Верховного Суда Российской Федерации Н.А.Ксенофонтова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