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Санкт-Петербурга и Ленинградской области от 16.11.2022, оставленным без изменения постановлением Тринадцатого арбитражного апелляционного суда от 06.03.2023 и постановлением Арбитражного суда Северо-Западного округа от 06.06.2023, в удовлетворении заявления отказано. В кассационной жалобе общество «Трансал» просит об отмене судебных актов, ссылаясь на отсутствие доказательств оплаты по спорным договорам и нарушение единообразия судебной практики.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равноценное встречное предоставление за приобретенное имущество. Оценка обстоятельств совершения конкретных сделок не подчиняется принципу единообразия.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«Трансал»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