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Иркутской области от 04.10.2022, оставленным без изменения постановлением Четвертого арбитражного апелляционного суда от 15.12.2022 и постановлением Арбитражного суда Восточно-Сибирского округа от 30.05.2023, в удовлетворении иска отказано. В кассационной жалобе общество «Престиж» просит об отмене судебных актов, ссылаясь на неопровержение ответчиком представленных доказательств нарушения обязательства.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Вопросы доказывания и оценки доказательств, положенные в основу доводов жалобы, не создают указанных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«Престиж»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ООО "Престиж"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