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Новосибирской области от 23.12.2022, оставленным без изменения постановлением Седьмого арбитражного апелляционного суда от 16.03.2023 иск удовлетворен в части взыскания 858 700 рублей штрафа, 735 300 убытков и 152 000 рублей задолженности за сверхнормативное использование вагонов. Постановлением Арбитражного суда Западно-Сибирского округа от 09.06.2023 судебные акты изменены в части распределения судебных расходов. В кассационной жалобе общество «Грейс» просит об отмене судебных актов, ссылаясь на неосновательное начисление штрафа за утрату вагонов, убытков и платы за сверхнормативное пользование вагонами, неснижение договорной неустойки, непривлечение к участию в деле третьего лица.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Судебные акты соответствуют условиям договора от 09.01.2017 № Э-17/01-02 и обстоятельствам его исполнения. Доводы в отношении размера неустойки и необходимости участия в деле третьего лица рассмотрены и мотивированно отклонены судами.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«Грейс»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