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Брянской области от 23.02.2023, оставленным без изменения постановлением Двадцатого арбитражного апелляционного суда от 26.04.2023 и постановлением Арбитражного суда Центрального округа от 27.07.2023, восстановлен срок на подачу заявления о включении требования в реестр, требование признано обоснованным и подлежащим включению в третью очередь реестра. В кассационной жалобе Кузнецов А.Е. просит отменить судебные акты, ссылаясь на неосновательное восстановление срока для подачи заявления.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признав наличие основания для восстановления срока, установили, что требование подтверждено вступившим в законную силу судебным актом и не удовлетворено должником, поэтому в силу статей 71, 100, 213.24 Федерального закона от 26.10.2002 № 127-ФЗ «О несостоятельности (банкротстве)» и пункта 24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 включили требование в реестр. Восстановление срока находится в компетенции суда и не пересматривается в кассационном порядке.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Кузнецову Александру Евгеньевичу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