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Федорова С.В. в Арбитражный суд города Санкт-Петербурга и Ленинградской области обратилось ООО «Экспотрейд» с заявлением, уточненным в порядке статьи 49 Арбитражного процессуального кодекса Российской Федерации, о признании недействительной расписки от 30.06.2016 о возвращении Елисеевым С.С. должнику суммы займа. Определением Арбитражного суда города Санкт-Петербурга и Ленинградской области от 21.10.2022 в удовлетворении заявления отказано. Постановлением Тринадцатого арбитражного апелляционного суда от 30.01.2023 определение суда первой инстанции оставлено без изменения. Арбитражный суд Северо-Западного округа постановлением от 15.06.2023 указанные судебные акты оставил без изменения. ООО «Экспотрейд»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181, 199 Гражданского кодекса Российской Федерации, положениями статьи 61.2 Федерального закона от 26.10.2002 № 127-ФЗ «О несостоятельности (банкротстве)» и исходили из пропуска заявителем срока исковой давности по заявленному требованию, указав также, что при разрешении спора о признании недействительным договора займа вступившими в законную силу судебными актами подтверждена реальность расписки и установлен факт возврата Елисеевым С.С. заемных денежных средств должнику.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