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08.12.2022, оставленным без изменения постановлением Девятого арбитражного апелляционного суда от 09.03.2023 и постановлением Арбитражного суда Московского округа от 08.06.2023, в удовлетворении заявления отказано. В кассационной жалобе ФИО1 просит об отмене судебных актов в отношении сделок с участием ФИО3, ссылаясь на нарушение правил о доказывании и оценке доказательств при проверке обстоятельств совершения этих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положенные в основу доводов,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ИФНС №15 ПО Г. МОСКВЕ (подробнее) ООО "АЙДИ КОЛЛЕКТ" (подробнее) ООО "Долговые Инвестиции" (подробнее) ООО Конкурсный управляющий Строймаштехнология Тарасов А.В. (подробнее) ООО "Столичное агентство по возврату долгов" (подробнее) ПАО "МТС-Банк" (подробнее) Иные лица: ООО "Контроль" (подробнее) ООО "Мангофинанс" (подробнее) ООО МИКРОФИНАНСОВАЯ ОРГАНИЗАЦИЯ "ТУРБОЗАЙМ" (подробнее) ООО Финпроект (подробнее) ООО "Юридическая компания "АЛЕСТ"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