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09.12.2022, оставленным без изменения постановлением Семнадцатого арбитражного апелляционного суда от 10.02.2023 и постановлением Арбитражного суда Уральского округа от 06.06.2023, в удовлетворении заявления отказано. В кассационной жалобе Гришаева Л.П. просит об отмене судебных актов, ссылаясь на несоответствие выводов судов фактическим обстоятельствам дела и нарушение преюдиции.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Заявленное должником основание для исключения требований из реестра противоречит установленному судами иному основанию их исключения (по заявлению кредитора в связи с погашением за счет реализации предмета залога), поэтому отклонено в силу статей 16, 60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Гришаевой Людмиле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