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ФИО3, ФИО1, ФИО4 обратились в суд с заявлениями, объединенными судом в одно производство, о включении их требований в реестр требований кредиторов ФИО2 Определением Арбитражного суда Самарской области от 29.07.2020 в удовлетворении заявлений ФИО3, ФИО1 и ФИО4 отказано. Постановлениями Одиннадцатого арбитражного апелляционного суда от 23.09.2020 и Арбитражного суда Поволжского округа от 08.12.2020 определение суда первой инстанции оставлено без изменения. В кассационной жалобе, поданной в Верховный Суд Российской Федерации, ФИО1 просит отменить определение и постановления судов первой, апелляционной инстанций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требование ФИО1 необоснованным, суды первой и апелляционной инстанций руководствовались статьями 71, 100 Федерального закона от 26.10.2002 № 127-ФЗ «О несостоятельности (банкротстве)» и исходили из его недоказанности. С данными выводами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И.В. Разумов Суд: Верховный Суд РФ (подробнее) Истцы: АО КБ "Солидарность" (подробнее) Иные лица: Арбитражный суд Самарской области (подробнее) ИФНС России по Промышленному району г.Самары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