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«Гринвэй» обратилось в Арбитражный суд города Санкт-Петербурга и Ленинградской области с иском к ООО «Интертрансавто» о взыскании 9 000 рублей в возмещение убытков, а также 10 640 рублей расходов на оплату услуг представителя и 2000 рублей в возмещение расходов на уплату государственной пошлины. Решением Арбитражного суда города Санкт-Петербурга и Ленинградской области от 11.10.2022, оставленным без изменения постановлением Тринадцатого арбитражного апелляционного суда от 21.02.2023 и постановлением Арбитражного суда Северо-Западного округа от 11.07.2023, в удовлетворении иска отказано. ООО «Гринвэй»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15, 309, 310, 393, 431, 785 Гражданского кодекса Российской Федерации, суды пришли к выводу о необоснованности иска ввиду недоказанности истцом возникновения убытков по вине ответчика.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