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Ставропольского края от 11.05.2023, оставленным без изменения постановлением Шестнадцатого арбитражного апелляционного суда от 03.07.2023 и постановлением Арбитражного суда Северо-Кавказского округа от 03.08.2023, заявление Аленченко Г.Е. о пересмотре судебного акта по вновь открывшимся обстоятельствам возвращено в связи с тем, что заявленные обстоятельства не отвечают признакам вновь открывшихся. В кассационной жалобе Аленченко Г.Е. просит о пересмотре судебных актов вследствие неправильной оценки заявленного обстоятельства.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2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несоответствие заявленного обстоятельства критериям вновь открывшегося в качестве основания для возвращения заявления в силу пункта 3 части1 статьи 315 Арбитражного процессуального кодекса Российской Федерации. Иное видение заявителем порядка проверки влияния обстоятельства на существо судебного акта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Аленченко Галине Евлампиевне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