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13.02.2023, оставленным без изменения постановлением Тринадцатого арбитражного апелляционного суда от 17.04.2023 и постановлением Арбитражного суда Северо-Западного округа от 20.07.2023, в удовлетворении иска отказано. В кассационной жалобе общество «ВМТ» просит об отмене судебных актов, указывая на неправильную оценку договора, позволяющего взыскание убытков с ответчика как агента.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исходя из условий договора от 06.10.2016 № 16700122037/RUB ответчик не является обязанным перед истцом лицом, поэтому не может отвечать за заявленные убытки. Оснований для иной оценки правоотношений на стадии кассационного производства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«ВМТ»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