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31.01.2023, оставленным без изменения постановлением Девятого арбитражного апелляционного суда от 28.04.2023 и постановлением Арбитражного суда Московского округа от 10.07.2023, в удовлетворении заявления отказано. В кассационной жалобе Бейлина И.Ю. просит об отмене судебных актов, ссылаясь на неполное выяснение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Суды признали отсутствие необходимых в силу статьи 446 Гражданского процессуального кодекса Российской Федерации, статьи 213.25 Федерального 2 закона от 26.10.2002 № 127-ФЗ «О несостоятельности (банкротстве)» условий для исключения заявленной суммы из конкурсной массы.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Бейлиной Ирине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