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заявителя жалобы, изложенные в судебных актах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В целом доводы кассационной жалобы являлись предметом рассмотрения судов и получили правовую оценку с учетом установленных обстоятельств дела, направлены на переоценку доказательств и установление иных 2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«Уральский Богатырь»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