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Приморского края от 19.95.2023, оставленным без изменения постановлением Десятого арбитражного апелляционного суда от 23.06.2023, конкурсное производство в отношении должника продлено на шесть месяцев. В кассационной жалобе, поданной в Верховный Суд Российской Федерации, заявители просят отменить названные судебные акты и направить вопрос о продлении банкротной процедуры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Продляя срок конкурсного производства, суд первой инстанции, руководствуясь положениями пункта 2 статьи 124 Федерального закона от 26.10.2002 № 127-ФЗ «О несостоятельности (банкротстве)», правовой позицией, изложенной в пункте 50 постановления Пленума Высшего Арбитражного Суда Российской Федерации от 22.06.2012 № 35 «О некоторых процессуальных вопросах связанных с рассмотрением дел о банкротстве», исходил из незавершённости всех необходимых мероприятий в рамках процедуры банкротства и обоснованности ходатайства конкурсного управляющего о продлении процедуры. Апелляционный суд поддержал выводы суда первой инстанции.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