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несоответствие выводов судов фактическим обстоятельствам дела,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Исследовав и оценив представленные в материалы дела доказательства, установив факт оказания истцом (исполнитель) услуг по договору в заявленный период, принятия оказанных услуг ответчиком (заказчик) и отсутствие доказательств их оплаты, руководствуясь положениями законодательства, регулирующего спорные правоотношения, суды пришли к выводу о наличии у заказчика испрашиваемой задолженности и недоказанности им возникновения на стороне исполнителя неосновательного обогащения.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«Волгоградская топливная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