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индивидуальный предприниматель ФИО1 (далее – предприниматель) обратился в суд с заявлением о включении в реестр требований кредиторов должника (далее – реестр) требования в размере 59 142 725 рублей 07 копеек задолженности и штрафных санкций по кредитному договору № 008/17/КЮР- 01 от 10.04.2017, как обеспеченного залогом имущества должника. Определением Арбитражного суда Владимирской области от 08.12.2021, оставленным без изменения постановлениями Первого арбитражного апелляционного суда от 05.04.2022 и Арбитражного суда Волго-Вятского округа от 05.07.2022,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334 , 382 , 384 , 388 , 819 Гражданского кодекса Российской Федерации, статьями 71 , 100 , 137 , 138 Федерального закона от 26.10.2002 № 127-ФЗ «О несостоятельности (банкротстве)», исходили из обоснованности заявленного требования и наличия оснований для включения его в реестр как обеспеченного залогом имущества должника. Выводы судов соответствуют нормам права, оснований их переоценки по доводам жалобы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«Витязь»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инспекция Федеральной налоговой службы №12 по Владимирской области (подробнее) ООО "Амбитус" (подробнее) ООО "Борисоглебское" (подробнее) ООО "Витязь" (подробнее) ООО "Поток" (подробнее) ПАО Банк ВТБ (подробнее) Ответчики: ООО "Мысль" (подробнее) Иные лица: АО АКБ "МФК" (подробнее) Арбитражный суд Владимирской области (подробнее) В/у Косынкин Александр Александрович (подробнее) ООО "Веди" (подробнее) ПААО АКБ "МЕТАЛЛУРГИЧЕСКИЙ ИНВЕСТИЦИОННЫЙ БАНК" (подробнее) СРО Союз " арбитражных управляющих Северо-Запада" (подробнее) Управление Федеральной налоговой службы по Владимирской области (подробнее) Судьи дела: Корнелюк Е.С. (судья) (подробнее) Судебная практика по: По кредитам, по кредитным договорам, банки, банковский договор Судебная практика по применению норм ст. 819, 820, 821, 822, 823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