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кассационное производство завершено, ходатайство о приостановлении исполнения обжалуемых судебных актов не подлежит рассмотрению по существу.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 ограниченной ответственностью «ЕВРОТРАНС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"ЗАВОД МЕТАЛЛОКОНСТРУКЦИЙ" (подробнее) Ответчики: ТОО "ЕВРОТРАНС ГРУПП"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