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Прокашев Василий Николаевич обратился в суд с заявлением о разрешении разногласий по определению размера требований уполномоченного органа, подлежащих удовлетворению путём уступки ему права требования с бывшего руководителя должника Некрасова Александра Борисовича в конкурсную массу должника убытков в размере 21 196 898 рублей 05 копеек. Определением Арбитражного суда Республики Коми от 27.09.2022, оставленным без изменения постановлением Второго арбитражного апелляционного суда от 20.01.2023, разногласия разрешены, определено, что взысканная с Некрасова А.Б. сумма убытков не подлежит распределению между всеми кредиторами, а передаётся в качестве уступки требования в пользу уполномоченного органа. Постановлением Арбитражного суда Волго–Вятского округа от 25.05.2023, определение суда первой инстанции и постановление суда апелляционной инстанции отменены. Разногласия разрешены, определено, что распоряжение правом требования о взыскании с Некрасова А.Б. в конкурсную массу должника убытков в размере 21 196 898 рублей 05 копеек осуществляется по правилам статьи 61.17 Федерального закона № 127-ФЗ от 26.10.2002 2 «О несостоятельности (банкротстве)» (далее – Закон о банкротстве), в том числе путём уступки части этого требования кредиторам, выбравшим такой способ распоряжения своим правом требования. В кассационной жалобе, поданной в Верховный Суд Российской Федерации, уполномоченный орган просит отменить постановление суда округа, оставить в силе определение суда первой инстанции и постановление суда апелляционной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суда первой инстанции и постановление суда апелляционной инстанции, суд округа, руководствуясь статьёй 61.17 Закона о банкротстве, разъяснениями, изложенными в пункте 49 постановления Пленума Верховного Суда Российской Федерации от 21.12.2017 № 53 "О некоторых вопросах, связанных с привлечением контролирующих должника лиц к ответственности при банкротстве", исходил из того, что в определении о взыскании убытков с бывшего руководителя взыскателем указан должник, при наличии иных кредиторов, выбравших способ распоряжения своим правом требования к контролирующему должника лицу, взысканная сумма убытков подлежит распределению между всеми кредиторами. Выводы суда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