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30.08.2021 признано недействительной сделкой списание с расчётного счёта должника денежных средств в пользу общества с ограниченной ответственностью «СтаффТрак» (далее – общества) по платёжным поручениям от 25.11.2019 №982, от 26.11.2019 №983, от 27.11.2019 №988; применены последствия недействительности сделки в виде взыскания с общества в конкурсную массу должника 227 400 рублей. В рамках данного спора Евлоев Х.М. обратился в суд с заявлением о процессуальном правопреемстве на стороне взыскателя – должника. Определением Арбитражного суда города Москвы от 25.11.2022, оставленным без изменения постановлениями Девятого арбитражного апелляционного суда от 20.03.2023 и Арбитражного суда Московского округа от 05.06.2023, отказано в удовлетворении заявления о правопреемстве. В кассационной жалобе, поданной в Верховный Суд Российской Федерации, заявитель просит отменить указанные судебные акты и направить вопрос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вопрос о правопреемстве, суды исходили из отсутствия причин для удовлетворения названного заявления ввиду несоблюдения порядка погашения требований, предусмотренного законодательством о банкротстве, указав на отсутствие оснований для применения статьи 313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