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уступки права требования от 01.07.2020 № 3, заключенного должником и обществом с ограниченной ответственностью «СК «Сталкер» (далее – общество) в отношении задолженности ФИО1 по договору займа от 14.11.2018, и применении последствий недействительности сделки. Определением Арбитражного суда города Москвы от 02.03.2022 заявление удовлетворено; применены последствия недействительности сделки в виде восстановления задолженности ФИО1 перед должником на 564 987 рублей 29 копеек. Постановлением Девятого арбитражного апелляционного суда от 28.03.2023, оставленным без изменения постановлением Арбитражного суда Московского округа от 08.06.2023, отменено определение суда первой инстанции от 02.03.2022 по безусловным основаниям; заявление удовлетворено; применены последствия недействительности сделки в виде взыскания с ФИО1 в конкурсную массу должника 564 987 рублей 29 копеек; с ФИО1 и общества в конкурсную массу должника взыскана государственная пошлина в размере 3 000 рублей. В кассационной жалобе, поданной в Верховный Суд Российской Федерации, заявитель просит отменить названное постановление апелляционного суда в части взыскания с него денежных средств, а также постановление суда округа в полном объеме. Жалоба изучена в пределах изложенных в ней доводов.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пункта 2 статьи 61.2 и статьи 61.6 Федерального закона от 26.10.2002 № 127-ФЗ «О несостоятельности (банкротстве)», установив аффилированность ФИО1, должника и общества, исходил из наличия оснований для применения последствий недействительности сделки путём взыскания всей суммы задолженности в конкурсную массу должника с ФИО1, указав, что последний не мог не знать о противоправной цели оспариваемой сделки и отклонив его доводы о полном исполнении переданных по оспариваемой сделке обязательств новому кредитору; правомерно распределил расходы по уплате государственной пошлины.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получили надлежащую правовую оценку, отклонены как несостоятельные с подробным изложением мотивов отклонения и,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ООО к/у "СпецСтройПроект" Подгорная Т.А. (подробнее) ООО "Фирма "Новые информационные технологии в авиации" (подробнее) ФГУП "Авиакомплект" (подробнее) Ответчики: ООО "СпецСтройПроект" (подробнее) Иные лица: АО "ГОЛОВНОЕ ОСОБОЕ КОНСТРУКТОРСКОЕ БЮРО "ПРОЖЕКТОР" (подробнее) ООО "ГНБ" (подробнее) ООО СК Сталкер (подробнее) ООО "Торговый дом "Пинскдрев" (подробнее) ООО ФИРМА НИТА (подробнее) СОЮЗ "САМОРЕГУЛИРУЕМАЯ ОРГАНИЗАЦИЯ АРБИТРАЖНЫХ УПРАВЛЯЮЩИХ "СТРАТЕГИЯ"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