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установив, что договор подряда сторонами не заключен, поскольку не достигнуто соглашение по всем его существенным условиям, 2 факт выполнения ответчиком работ на объекте не доказан, суды пришли к выводу об отсутствии у ответчика оснований для удержания перечисленных истцом денежных средств, в связи с чем удовлетворили исковые требования о взыскании неосновательного обогащения и процентов за пользование чужими денежными средствами.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Янушевского Дмитрия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