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Возвращая встречный иск заявителю, суд первой инстанции, с выводом которого согласился апелляционный суд, руководствовался положениями процессуального законодательства и исходил из того, что предъявление заявителем встречного иска направлено на затягивание судебного процесса. 2 Оставляя судебные акты названных судов без изменения, суд округа отметил противоречивую позицию суда первой инстанции относительно процессуального поведения заявителя, вместе с тем учел конкретные обстоятельства дела и принял во внимание, что возврат встречного иска не нарушает права заявителя на судебную защиту, поскольку не препятствует его рассмотрению в рамках отдельного производства. Доводы кассационной жалобы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«Альянс-Строй»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