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Новосибирской области от 19.01.2023, оставленным без изменения постановлением Седьмого арбитражного апелляционного суда от 19.04.2023 и постановлением Арбитражного суда Западно-Сибирского округа от 20.07.2023, иск удовлетворен. В кассационной жалобе, поданной в Верховный Суд Российской Федерации, предприниматель просит отменить постановления судов апелляционной и кассационной инстанций, выражая несогласие с изложенными в их мотивировочной части выводами судов относительно расторжения договора на оказание услуг.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доводы заявителя, касающиеся его несогласия с мотивировочной частью обжалуемых судебных актов, не подтверждают наличие оснований для их пересмотра, поскольку не позволяют сделать вывод о том, что при рассмотрении спора допущены существенные нарушения норм права, повлиявшие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Кузнецовой Дарьи Андреевны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