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«Деловые Линии» обратилось в Арбитражный суд города Санкт- Петербурга и Ленинградской области с иском о взыскании с ООО «Магистраль» 18 965 392 рублей 11 копеек убытков. Решением Арбитражного суда города Санкт-Петербурга и Ленинградской области от 01.11.2022 в удовлетворении иска отказано. Постановлением Тринадцатого арбитражного апелляционного суда от 08.02.2023 решение суда первой инстанции отменено и иск удовлетворен. Арбитражный суд Северо-Западного округа постановлением от 07.06.2023 постановление суда апелляционной инстанции оставил без изменения. ООО «Магистраль»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положениями статей 15, 393 Гражданского кодекса Российской Федерации,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исходили из того, что недобросовестные действия ответчика повлекли возникновение у истца убытков в виде уплаты в бюджет сумм, начисленных налоговым органом.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