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с бывшего генерального директора должника Герасимова А.Н. 313 450 рублей убытков. Определением Арбитражного суда Костромской области от 08.11.2022, оставленным без изменения постановлениями Второго арбитражного апелляционного суда от 26.01.2023 и Арбитражного суда Волго-Вятского округа от 31.05.2023,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Костромской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15 и 53 Гражданского кодекса Российской Федерации, исходили из наличия оснований для удовлетворения требований ввиду доказанности причинно-следственной связи между убытками на стороне должника в указанном размере и действиями Герасимова А.Н. по безвозмездному выводу активов должника. Выводы судов соответствуют нормам права, оснований для переоценки выводов судов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Е.С. Корнелюк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