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Несогласие с выводами судов по результатам оценки представленных доказательств, выраженное в доводах жалобы и направленное, по сути, на переоценку данных доказательств, установление новых обстоятельств по делу, учитывая полномочия Судебной коллегии Верховного Суда Российской Федерации, определенные статьей 29114 Арбитражного процессуального кодекса Российской Федерации, не может служить основанием для отмены либо изменения обжалуемых судебных актов. 2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«ФАСТ ПЭЙ»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