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29.09.2023 с ходатайством о восстановлении срока на обжалование, пропуск которого обосновывается болезнью заявителя.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Названная подателем жалобы причина пропуска срока на обжалование является субъективной и преодолимой через представительство, поэтому не создает основания для восстановления срока. В ситуации отказа в восстановлении срока кассационная жалоба подлежит возврату, но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2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Михайлову Владимиру Михайловичу в восстановлении срока подачи кассационной жалобы на определение Арбитражного суда Саратовской области от 01.11.2022, постановление Двенадцатого арбитражного апелляционного суда от 16.02.2023 и постановление Арбитражного суда Поволжского округа от 29.06.2023 по делу № А57-28281/2016. Кассационную жалобу не рассматривать по существу. Судья Верховного Суда Российской Федерации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