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конкурсный управляющий Тагиров Т.И. обратился в суд с заявлением о признании недействительным платежа, совершённого должником 21.12.2020 в пользу общества с ограниченной ответственностью «СК «Алтын групп» в размере 3 381 615 рублей 56 копеек и применении последствий недействительности сделки. Определением Арбитражного суда Республики Татарстан от 19.10.2022 в удовлетворении заявления отказано. Постановлением Одиннадцатого арбитражного апелляционного суда от 02.03.2023, оставленным без изменения постановлением Арбитражного суда Поволжского округа от 05.06.2023, определение суда первой инстанции отменено, заявление конкурсного управляющего удовлетворено; применены последствия недействительности сделки в виде взыскания с общества «СК «Алтын групп» в пользу должника денежных средств в размере 3 381 615 рублей 56 копеек; обществу «СК «Алтын групп» восстановлено право требования к должнику денежных средств в размере 3 381 615 рублей 56 копеек. 2 В кассационной жалобе, поданной в Верховный Суд Российской Федерации, заявитель просит отменить постановления судов апелляционной инстанции и округа, оставить в силе определение суда первой инстанции.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по результатам изучения состоявшихся по делу судебных актов и доводов кассационной жалобы таких оснований не установлено. Повторно разрешая спор, суд апелляционной инстанции, с которым впоследствии согласился суд округа, руководствуясь статьями 168, 174.1, 183 Гражданского кодекса Российской Федерации, статьями 126, 129 Федерального закона от 26.10.2002 № 127-ФЗ «О несостоятельности (банкротстве)», исходили из того, что оспариваемый платеж совершён после оглашения резолютивной части решения суда об открытии конкурсного производства в нарушение прямого запрета на самостоятельное распоряжение должником своим имуществом без одобрения конкурсного управляющего, в связи с чем пришли к выводу о наличии оснований для признания его недействительно сделкой, правомерно применив последствия её недействительности. Выводы судов апелляционной инстанции и округа соответствуют нормам права, оснований для переоценки этих выводов не имеется. Существенных нарушений норм материального и (или) норм процессуального права, которые бы повлияли на исход судебного разбирательства, по доводам кассационной жалобы не установлено. Доводы заявителя были предметом рассмотрения судов, основаны на несогласии с принятыми судебными актами и направлены на переоценку доказательств, что находится за пределами полномочий Судебной коллегии по экономическим спорам Верховного Суда Российской Федерации.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