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недействительными решений комитета кредиторов должника по 1 и 2 вопросам повестки дня (об обязании конкурсного управляющего отменить назначенные торги по продаже залогового имущества должника, провести повторную оценку залогового и незалогового имущества должника), опубликованные в сообщении ЕФРСБ от 13.12.2022 №10323625. Определением Арбитражного суда Алтайского края от 02.02.2023, оставленным без изменения постановлениями Седьмого арбитражного апелляционного суда от 03.03.2023 и Арбитражного суда Западно-Сибирского округа от 24.07.2023,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отказывая в удовлетворении заявленных требований, суды, руководствуясь статьями 15, 17, 60, 126, 139 Федерального закона от 26.10.2002 № 127-ФЗ «О несостоятельности (банкротстве)», исходили из того, что оспариваемые решения комитета кредиторов в пределах его компетенции и в интересах сообщества конкурсных кредиторов, направлены на достижение цели конкурсного производства, не нарушают прав и законных интересов общества.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