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Великород Евгения Владимировна обратилась в суд с заявлением о признании недействительными актов сальдирования обязательств № 1 от 01.01.2020 и № 2 от 30.11.2020, заключённых между должником и обществом с ограниченной ответственностью «Деликатесная мастерская», применении последствий недействительности сделок. Определением Арбитражного суда города Москвы от 24.01.2023, оставленным без изменения постановлениями Девятого арбитражного апелляционного суда от 05.04.2023 и Арбитражного суда Московского округа от 13.06.2023,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61.2, пунктом 3 статьи 61.3 Федерального закона от 26.10.2002 № 127-ФЗ «О несостоятельности (банкротстве)», с учетом разъяснений, содержащихся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признания оспариваемых сделок недействительными, приняв во внимание реальность хозяйственных операций, недоказанность осведомленности общества «Деликатесная мастерская» о признаках неплатежеспособности должника, либо обстоятельствах, позволяющих сделать вывод о наличии таких признаков на момент совершения спорных сделок. Выводы судов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