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жалобой на действия (бездействие) конкурсного управляющего должником Лапкина Максима Андреевича, выразившееся: в несовершении действий по предоставлению собранию кредиторов положения о продаже имущества должника и действий по продаже такого имущества; отсутствии анализа финансового состояния должника и публикации на ЕФРСБ заключения о наличии (отсутствии) признаков преднамеренного и фиктивного банкротства. Общество просило отстранить Лапкина М.А. от исполнения обязанностей конкурсного управляющего должником и уменьшить размер его вознаграждения. Определением Арбитражного суда Курской области от 09.12.2022, оставленным без изменения постановлениями Девятнадцатого арбитражного апелляционного суда от 27.02.2023 и Арбитражного суда Центрального округа от 05.06.2023, заявление удовлетворено частично; признано незаконным бездействие Лапкина М.А., выразившееся в несовершении действий по предоставлению собранию кредиторов положения о продаже имущества должника и действий по продаже такого имущества; отказано в удовлетворении остальной части требований. 2 В кассационной жалобе, поданной в Верховный Суд Российской Федерации, заявитель просит изменить названные судебные акты и отстранить Лапкина М.А. от исполнения обязанностей конкурсного управляющего должником. Исходя из содержания настоящей жалобы, заявитель не согласен с судебными актами в части отказа в удовлетворении заявления общества. Жалоба изучен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положениями статей 20.3, 20.4, 67, 129 и 145 Федерального закона от 26.10.2002 № 127-ФЗ «О несостоятельности (банкротстве)», пришли к выводу о недоказанности наличия в ряде оспариваемых действий (бездействии) Лапкина М.А. вменяемых ему нарушений законодательства о банкротстве, как следствие, исходили из отсутствия причин для полного удовлетворения требований по заявленным основаниям, не усмотрев оснований для отстранения Лапкина М.А. от исполнения обязанностей конкурсного управляющего должником и снижения размера его вознаграждения.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 заявителя, в том числе доводы о причинении бездействием Лапкина М.А. убытков, были предметом рассмотрения судов, получили надлежащую правовую оценку, отклонены как несостоятельные с подробным изложением мотивов отклонения и, по сути,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