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кассационной жалобе, поданной в Верховный Суд Российской Федерации, заявитель, ссылаясь на нарушение судами норм права, просит пересмотреть указанные судебные акты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(статья 291.11 Арбитражного процессуального кодекса Российской Федерации). Таких оснований для пересмотра судебных актов по доводам кассационной жалобы, изученным по материалам истребованного дела, не установлено. 2 Установив факт несвоевременного исполнения ответчиком судебного акта, суд первой инстанции, выводы которого поддержали суды апелляционной и кассационной инстанций, руководствуясь положениями действующего процессуального законодательства, произвел индексацию присужденных судом денежных сумм в заявленном истцом размере. Доводы кассационной жалобы не подтверждают существенных нарушений судами норм права, повлиявших на исход дела, и не являются достаточным основанием для пересмотра обжалуемых судебных актов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«Ниимстрой»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