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Отказывая в удовлетворении иска и подтверждая правильность этого вывода, суды, исследовав и оценив представленные в материалы дела доказательства, руководствуясь положениями законодательства, 2 регулирующего спорные правоотношения, исходили из отсутствия оснований для взыскания неустойки, начисленной за период после расторжения договора. Доводы кассационной жалобы с учетом установленных фактических обстоятельств спора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«Экспател»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