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указанного определения по тексту допущена опечатка в наименовании заявителя жалобы, вместо общества с ограниченной ответственностью «Первая клининговая служба» указано общество с ограниченной ответственностью «Первая клининговая компания». Данная опечатка является технической, ее исправление не влияет на содержание судебного акта и не изменяет его. При таких обстоятельствах, руководствуясь статьей 179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допущенную по тексту определения Верховного Суда Российской Федерации от 02.10.2023 № 305-ЭС23-18214 опечатку, читая наименование заявителя - общество с ограниченной ответственностью «Первая клининговая служба».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