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Изменяя решение суда первой инстанции, суд апелляционной инстанции, с которым согласился суд округа, оценив представленные в материалы дела доказательства, принимая во внимание период действия обеспечительных мер, характер и объем последствий, вызванных их принятием, а также поведение истца, руководствуясь положениями процессуального законодательства, 2 исходя из принципов разумности и справедливости, определил размер компенсации в сумме 10 000 руб.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Заявителю предоставлена отсрочка уплаты государственной пошлины до окончания производства по кассационной жалобе.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«Приморские коммунальные системы»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«Приморские коммунальные системы» в доход федерального бюджета 3000 (три тысячи) рублей государственной пошлины за подачу кассационной жалобы. Поручить Арбитражному суду Приморского края выдать исполнительный лист на взыскание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