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Сердюков В.Н. обратился в суд с заявлением о включении в реестр требований кредиторов должника (далее – реестр) требований в размере 10 614 000 рублей. Определением Арбитражного суда Кемеровской области от 10.10.2022, оставленным без изменения постановлениями Седьмого арбитражного апелляционного суда от 25.12.2022 и Арбитражного суда Западно-Сибирского округа от 24.07.2023,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во включении заявленных требований в реестр, суды, руководствуясь статьями 195, 196, 200, 864, 1102 Гражданского кодекса Российской Федерации, статьями 16,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их документального подтверждения и частичного предъявления с пропуском срока исковой давности.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