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его требований в размере 15 182 274 рубля 26 копеек, составляющих задолженность по договору аренды от 01.05.2016 № 4.2-3.1.001.2277,4М. Определением Арбитражного суда города Москвы от 12.09.2019, оставленным без изменения постановлением Девятого арбитражного апелляционного суда от 18.11.2019, требования общества в указанном размере включены в третью очередь реестра. Постановлением Арбитражного суда Московского округа от 03.02.2020 отменены данные судебные акты в части включения в третью очередь реестра требования общества в размере 2 277 413 рублей; в отменённой части производство по заявлению прекращено; в остальной части судебные акты оставлены без изменения. Решением Арбитражного суда города Москвы от 29.04.2022 по вновь открывшимся обстоятельствам отменено определение от 12.09.2019; назначено заседание по рассмотрению названного заявления общества. Определением Арбитражного суда города Москвы от 13.10.2022, оставленным без изменения постановлениями Девятого арбитражного 2 апелляционного суда от 07.03.2023, требования общества в указанном размере признаны обоснованными и включены в третью очередь реестра. Постановлением Арбитражного суда Московского округа от 13.06.2023 отменены данные судебные акты, отказано в удовлетворении заявления общества о включении его требований в реестр. В кассационной жалобе, поданной в Верховный Суд Российской Федерации, заявитель просит отменить названное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отказывая в удовлетворении заявления, суд округа, руководствуясь положениями статей 450, 611 и 612 Гражданского кодекса Российской Федерации, исходил из отсутствия оснований для удовлетворения заявления, поскольку что в рамках дела № А40-201202/2017 установлен факт ненадлежащего исполнения обществом (арендодателем) своих обязанностей по договору аренды, положенному в основание заявленных требований.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