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исходя из установленных фактических обстоятельств, 2 суды определили сальдо встречных обязательств по договорам лизинга и удовлетворили иск частично.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Лизинговая компания «Свое дело 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